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65AF2" w14:textId="51EAA508" w:rsidR="00DA1C19" w:rsidRDefault="001F786B" w:rsidP="004B32B2">
      <w:pPr>
        <w:pStyle w:val="Heading2"/>
      </w:pPr>
      <w:r w:rsidRPr="001F786B">
        <w:t>Preparing for Ontario’s Provincially Mandated Municipal Maturity Assessment</w:t>
      </w:r>
    </w:p>
    <w:p w14:paraId="16BB889E" w14:textId="742AB8F0" w:rsidR="00E87110" w:rsidRPr="00E87110" w:rsidRDefault="00E87110" w:rsidP="00E87110">
      <w:pPr>
        <w:rPr>
          <w:rFonts w:ascii="Roboto" w:hAnsi="Roboto"/>
          <w:b/>
          <w:bCs/>
        </w:rPr>
      </w:pPr>
      <w:r w:rsidRPr="00E87110">
        <w:rPr>
          <w:rFonts w:ascii="Roboto" w:hAnsi="Roboto"/>
          <w:b/>
          <w:bCs/>
          <w:noProof/>
        </w:rPr>
        <w:drawing>
          <wp:anchor distT="0" distB="0" distL="114300" distR="114300" simplePos="0" relativeHeight="251668480" behindDoc="0" locked="0" layoutInCell="1" allowOverlap="1" wp14:anchorId="002DB174" wp14:editId="7B0693B1">
            <wp:simplePos x="0" y="0"/>
            <wp:positionH relativeFrom="column">
              <wp:posOffset>2691285</wp:posOffset>
            </wp:positionH>
            <wp:positionV relativeFrom="paragraph">
              <wp:posOffset>263982</wp:posOffset>
            </wp:positionV>
            <wp:extent cx="2778755" cy="1558138"/>
            <wp:effectExtent l="0" t="0" r="3175" b="4445"/>
            <wp:wrapSquare wrapText="bothSides"/>
            <wp:docPr id="619790010" name="Picture 1" descr="A magnifying glass over a miniature cityscape. Image generated using Mid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90010" name="Picture 1" descr="A magnifying glass over a miniature cityscape. Image generated using Midjourn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8755" cy="1558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110">
        <w:rPr>
          <w:rFonts w:ascii="Roboto" w:hAnsi="Roboto"/>
          <w:b/>
          <w:bCs/>
        </w:rPr>
        <w:t>By Jim Kirk</w:t>
      </w:r>
    </w:p>
    <w:p w14:paraId="28894470" w14:textId="3DB68F6B" w:rsidR="00F76DBD" w:rsidRDefault="00F76DBD" w:rsidP="000F1ADB">
      <w:pPr>
        <w:ind w:right="58"/>
      </w:pPr>
      <w:bookmarkStart w:id="0" w:name="_Hlk94190095"/>
      <w:r>
        <w:t xml:space="preserve">As a company founded and headquartered in Ontario, Info-Tech has been closely monitoring the developments around the </w:t>
      </w:r>
      <w:hyperlink r:id="rId9" w:history="1">
        <w:r w:rsidRPr="00425C06">
          <w:rPr>
            <w:rStyle w:val="Hyperlink"/>
          </w:rPr>
          <w:t>Hazel McCallion Act and the decision to dissolve Peel Region</w:t>
        </w:r>
      </w:hyperlink>
      <w:r>
        <w:t xml:space="preserve">. Beyond the near-term implications for Mississauga, Brampton, and Caledon, the province has also announced that regional facilitators will be named to assess the upper-tier municipalities of Durham, Halton, Niagara, Simcoe, Waterloo, and York. </w:t>
      </w:r>
    </w:p>
    <w:p w14:paraId="3513533B" w14:textId="77777777" w:rsidR="00F76DBD" w:rsidRDefault="00F76DBD" w:rsidP="00F76DBD">
      <w:r>
        <w:t>There appear to be two primary objectives with these assessments: To determine the effectiveness of the upper-tier municipalities at meeting the needs of the communities they serve and to assess the maturity of the lower-tier municipalities to see if any might be well positioned to pursue dissolution. In short: municipal maturity assessments.</w:t>
      </w:r>
    </w:p>
    <w:p w14:paraId="416CD068" w14:textId="77777777" w:rsidR="00F76DBD" w:rsidRDefault="00F76DBD" w:rsidP="00F76DBD">
      <w:r>
        <w:t>For those municipalities who will be engaged by facilitators soon, we recommend the following readiness activities:</w:t>
      </w:r>
    </w:p>
    <w:p w14:paraId="55A93FAD" w14:textId="43838725" w:rsidR="00F76DBD" w:rsidRDefault="00F76DBD" w:rsidP="00F76DBD">
      <w:pPr>
        <w:pStyle w:val="ListParagraph"/>
        <w:numPr>
          <w:ilvl w:val="0"/>
          <w:numId w:val="12"/>
        </w:numPr>
      </w:pPr>
      <w:r w:rsidRPr="00A066D8">
        <w:rPr>
          <w:noProof/>
        </w:rPr>
        <w:drawing>
          <wp:anchor distT="0" distB="0" distL="114300" distR="114300" simplePos="0" relativeHeight="251666432" behindDoc="1" locked="0" layoutInCell="1" allowOverlap="1" wp14:anchorId="688A4D27" wp14:editId="2B512590">
            <wp:simplePos x="0" y="0"/>
            <wp:positionH relativeFrom="margin">
              <wp:posOffset>3066948</wp:posOffset>
            </wp:positionH>
            <wp:positionV relativeFrom="paragraph">
              <wp:posOffset>1334846</wp:posOffset>
            </wp:positionV>
            <wp:extent cx="2522220" cy="1390650"/>
            <wp:effectExtent l="0" t="0" r="0" b="0"/>
            <wp:wrapTight wrapText="bothSides">
              <wp:wrapPolygon edited="0">
                <wp:start x="0" y="0"/>
                <wp:lineTo x="0" y="21304"/>
                <wp:lineTo x="21372" y="21304"/>
                <wp:lineTo x="21372" y="0"/>
                <wp:lineTo x="0" y="0"/>
              </wp:wrapPolygon>
            </wp:wrapTight>
            <wp:docPr id="134919261" name="Picture 1" descr="Info-Tech's ITFM Benchmark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9261" name="Picture 1" descr="Info-Tech's ITFM Benchmarking Framewor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2220" cy="1390650"/>
                    </a:xfrm>
                    <a:prstGeom prst="rect">
                      <a:avLst/>
                    </a:prstGeom>
                  </pic:spPr>
                </pic:pic>
              </a:graphicData>
            </a:graphic>
            <wp14:sizeRelH relativeFrom="margin">
              <wp14:pctWidth>0</wp14:pctWidth>
            </wp14:sizeRelH>
            <wp14:sizeRelV relativeFrom="margin">
              <wp14:pctHeight>0</wp14:pctHeight>
            </wp14:sizeRelV>
          </wp:anchor>
        </w:drawing>
      </w:r>
      <w:r w:rsidRPr="00F76DBD">
        <w:rPr>
          <w:b/>
          <w:bCs/>
        </w:rPr>
        <w:t>Assess your process maturity, staffing, and spending</w:t>
      </w:r>
      <w:r w:rsidRPr="00F76DBD">
        <w:t xml:space="preserve"> using Info-Tech’s objective frameworks and methods. </w:t>
      </w:r>
      <w:r>
        <w:br/>
      </w:r>
      <w:r>
        <w:br/>
        <w:t xml:space="preserve">Our </w:t>
      </w:r>
      <w:hyperlink r:id="rId11" w:history="1">
        <w:r w:rsidRPr="00596C99">
          <w:rPr>
            <w:rStyle w:val="Hyperlink"/>
            <w:rFonts w:eastAsiaTheme="majorEastAsia"/>
          </w:rPr>
          <w:t>IT Management &amp; Governance diagnostic</w:t>
        </w:r>
      </w:hyperlink>
      <w:r>
        <w:t xml:space="preserve"> is based on COBIT and allows you to quickly assess the perceived importance and effectiveness of your core IT processes. It helps you clarify process ownership in your organization and prioritize process improvement.</w:t>
      </w:r>
      <w:r>
        <w:br/>
      </w:r>
      <w:r>
        <w:br/>
        <w:t xml:space="preserve">The </w:t>
      </w:r>
      <w:hyperlink r:id="rId12" w:history="1">
        <w:r w:rsidRPr="007C2EF2">
          <w:rPr>
            <w:rStyle w:val="Hyperlink"/>
            <w:rFonts w:eastAsiaTheme="majorEastAsia"/>
          </w:rPr>
          <w:t>IT Staffing Assessment diagnostic</w:t>
        </w:r>
      </w:hyperlink>
      <w:r>
        <w:t xml:space="preserve"> is an effective time study for IT. It helps you justify existing or additional headcount, demonstrate the correlation between staffing levels and customer satisfaction, and allocate your staff more effectively (across functions and </w:t>
      </w:r>
      <w:r>
        <w:lastRenderedPageBreak/>
        <w:t xml:space="preserve">low- and high-value activities). </w:t>
      </w:r>
      <w:r w:rsidR="00363352">
        <w:br/>
      </w:r>
      <w:r w:rsidR="00363352">
        <w:br/>
      </w:r>
      <w:r>
        <w:t xml:space="preserve">Our </w:t>
      </w:r>
      <w:hyperlink r:id="rId13" w:history="1">
        <w:r w:rsidRPr="00F76DBD">
          <w:rPr>
            <w:rStyle w:val="Hyperlink"/>
            <w:rFonts w:eastAsiaTheme="majorEastAsia"/>
          </w:rPr>
          <w:t>IT Spend &amp; Staffing Transparency research</w:t>
        </w:r>
      </w:hyperlink>
      <w:r>
        <w:t xml:space="preserve"> provides a proven model to both map and visualize your organization’s true IT spend. It provides several views that will resonate with your entire C-suite.</w:t>
      </w:r>
      <w:r>
        <w:br/>
      </w:r>
      <w:r>
        <w:br/>
        <w:t xml:space="preserve">If you’d like our experts to do more of the heavy lifting in modeling your spend and staffing data in this way, you can consider our </w:t>
      </w:r>
      <w:hyperlink r:id="rId14" w:history="1">
        <w:r w:rsidRPr="00F76DBD">
          <w:rPr>
            <w:rStyle w:val="Hyperlink"/>
            <w:rFonts w:eastAsiaTheme="majorEastAsia"/>
          </w:rPr>
          <w:t>IT Spend &amp; Staffing Benchmarking Service</w:t>
        </w:r>
      </w:hyperlink>
      <w:r>
        <w:t xml:space="preserve">. Members with an available </w:t>
      </w:r>
      <w:hyperlink r:id="rId15" w:anchor="top-workshop-experiences" w:history="1">
        <w:r w:rsidRPr="00F76DBD">
          <w:rPr>
            <w:rStyle w:val="Hyperlink"/>
            <w:rFonts w:eastAsiaTheme="majorEastAsia"/>
          </w:rPr>
          <w:t>workshop credit</w:t>
        </w:r>
      </w:hyperlink>
      <w:r>
        <w:t xml:space="preserve"> can choose to apply it to use this service.</w:t>
      </w:r>
      <w:r w:rsidR="000F1ADB">
        <w:br/>
      </w:r>
    </w:p>
    <w:p w14:paraId="58FCB41A" w14:textId="77777777" w:rsidR="00F76DBD" w:rsidRDefault="00F76DBD" w:rsidP="00F76DBD">
      <w:pPr>
        <w:pStyle w:val="ListParagraph"/>
        <w:numPr>
          <w:ilvl w:val="0"/>
          <w:numId w:val="12"/>
        </w:numPr>
      </w:pPr>
      <w:r w:rsidRPr="00F76DBD">
        <w:rPr>
          <w:b/>
          <w:bCs/>
        </w:rPr>
        <w:t>Validate your IT service management fundamentals</w:t>
      </w:r>
      <w:r>
        <w:t xml:space="preserve"> to ensure you can effectively deliver services to lower-tier municipalities. These same fundamentals can aid in your ability to manage the performance of those delivering services to you.</w:t>
      </w:r>
      <w:r>
        <w:br/>
      </w:r>
      <w:r>
        <w:br/>
        <w:t xml:space="preserve">Do you </w:t>
      </w:r>
      <w:hyperlink r:id="rId16" w:history="1">
        <w:r w:rsidRPr="00332398">
          <w:rPr>
            <w:rStyle w:val="Hyperlink"/>
            <w:rFonts w:eastAsiaTheme="majorEastAsia"/>
          </w:rPr>
          <w:t xml:space="preserve">have a </w:t>
        </w:r>
        <w:r>
          <w:rPr>
            <w:rStyle w:val="Hyperlink"/>
            <w:rFonts w:eastAsiaTheme="majorEastAsia"/>
          </w:rPr>
          <w:t>s</w:t>
        </w:r>
        <w:r w:rsidRPr="00332398">
          <w:rPr>
            <w:rStyle w:val="Hyperlink"/>
            <w:rFonts w:eastAsiaTheme="majorEastAsia"/>
          </w:rPr>
          <w:t xml:space="preserve">ervice </w:t>
        </w:r>
        <w:r>
          <w:rPr>
            <w:rStyle w:val="Hyperlink"/>
            <w:rFonts w:eastAsiaTheme="majorEastAsia"/>
          </w:rPr>
          <w:t>c</w:t>
        </w:r>
        <w:r w:rsidRPr="00332398">
          <w:rPr>
            <w:rStyle w:val="Hyperlink"/>
            <w:rFonts w:eastAsiaTheme="majorEastAsia"/>
          </w:rPr>
          <w:t>atalog</w:t>
        </w:r>
      </w:hyperlink>
      <w:r>
        <w:t xml:space="preserve"> today? Is it a living document that is up to date? In speaking with members about the importance of a service catalog, I like to ask if they’ve ever walked into a restaurant where there was no menu. It’s foundational in describing the value you offer in a way that your customer can understand, appreciate, and take action on.</w:t>
      </w:r>
      <w:r>
        <w:br/>
      </w:r>
      <w:r>
        <w:br/>
        <w:t xml:space="preserve">If your catalog is in place, what about a </w:t>
      </w:r>
      <w:hyperlink r:id="rId17" w:history="1">
        <w:r w:rsidRPr="00E23B8A">
          <w:rPr>
            <w:rStyle w:val="Hyperlink"/>
            <w:rFonts w:eastAsiaTheme="majorEastAsia"/>
          </w:rPr>
          <w:t>service</w:t>
        </w:r>
        <w:r>
          <w:rPr>
            <w:rStyle w:val="Hyperlink"/>
            <w:rFonts w:eastAsiaTheme="majorEastAsia"/>
          </w:rPr>
          <w:t>-</w:t>
        </w:r>
        <w:r w:rsidRPr="00E23B8A">
          <w:rPr>
            <w:rStyle w:val="Hyperlink"/>
            <w:rFonts w:eastAsiaTheme="majorEastAsia"/>
          </w:rPr>
          <w:t>level agreement framework</w:t>
        </w:r>
      </w:hyperlink>
      <w:r>
        <w:t xml:space="preserve">? Success at either end of a shared services relationship is predicated on a clear understanding of what’s being delivered, who’s doing what, and what level of performance can be expected. And what about service costing? </w:t>
      </w:r>
      <w:hyperlink r:id="rId18" w:history="1">
        <w:r w:rsidRPr="001D7D1A">
          <w:rPr>
            <w:rStyle w:val="Hyperlink"/>
            <w:rFonts w:eastAsiaTheme="majorEastAsia"/>
          </w:rPr>
          <w:t>Without a clear and defensible cost model</w:t>
        </w:r>
      </w:hyperlink>
      <w:r>
        <w:t>, you may not recover the funds you need to deliver the service.</w:t>
      </w:r>
      <w:r>
        <w:br/>
      </w:r>
      <w:r>
        <w:br/>
        <w:t xml:space="preserve">Lastly, you can’t manage what you don’t measure. Ensure you have a service performance measurement capability and have </w:t>
      </w:r>
      <w:hyperlink r:id="rId19" w:history="1">
        <w:r w:rsidRPr="004C0F1C">
          <w:rPr>
            <w:rStyle w:val="Hyperlink"/>
            <w:rFonts w:eastAsiaTheme="majorEastAsia"/>
          </w:rPr>
          <w:t>developed service metrics that are meaningful</w:t>
        </w:r>
      </w:hyperlink>
      <w:r>
        <w:t xml:space="preserve"> and articulate the value your service offers your customer.</w:t>
      </w:r>
      <w:r>
        <w:br/>
      </w:r>
    </w:p>
    <w:p w14:paraId="719624A1" w14:textId="77777777" w:rsidR="00F76DBD" w:rsidRPr="00F76DBD" w:rsidRDefault="00F76DBD" w:rsidP="00F76DBD">
      <w:pPr>
        <w:pStyle w:val="ListParagraph"/>
        <w:numPr>
          <w:ilvl w:val="0"/>
          <w:numId w:val="12"/>
        </w:numPr>
        <w:rPr>
          <w:b/>
          <w:bCs/>
        </w:rPr>
      </w:pPr>
      <w:r w:rsidRPr="00F76DBD">
        <w:rPr>
          <w:b/>
          <w:bCs/>
        </w:rPr>
        <w:t>Evaluate your application and project portfolios.</w:t>
      </w:r>
      <w:r w:rsidRPr="004C1C3C">
        <w:t xml:space="preserve"> </w:t>
      </w:r>
      <w:r>
        <w:t xml:space="preserve">Applications play a critical role in enabling the vision and customer experience that is outlined in a digital strategy. </w:t>
      </w:r>
      <w:r w:rsidRPr="004C1C3C">
        <w:t xml:space="preserve">It’s imperative you can demonstrate that your applications are delivering value to the organization. </w:t>
      </w:r>
      <w:hyperlink r:id="rId20" w:history="1">
        <w:r w:rsidRPr="00130427">
          <w:rPr>
            <w:rStyle w:val="Hyperlink"/>
            <w:rFonts w:eastAsiaTheme="majorEastAsia"/>
          </w:rPr>
          <w:t xml:space="preserve">Application </w:t>
        </w:r>
        <w:r>
          <w:rPr>
            <w:rStyle w:val="Hyperlink"/>
            <w:rFonts w:eastAsiaTheme="majorEastAsia"/>
          </w:rPr>
          <w:t>p</w:t>
        </w:r>
        <w:r w:rsidRPr="00130427">
          <w:rPr>
            <w:rStyle w:val="Hyperlink"/>
            <w:rFonts w:eastAsiaTheme="majorEastAsia"/>
          </w:rPr>
          <w:t xml:space="preserve">ortfolio </w:t>
        </w:r>
        <w:r>
          <w:rPr>
            <w:rStyle w:val="Hyperlink"/>
            <w:rFonts w:eastAsiaTheme="majorEastAsia"/>
          </w:rPr>
          <w:t>m</w:t>
        </w:r>
        <w:r w:rsidRPr="00130427">
          <w:rPr>
            <w:rStyle w:val="Hyperlink"/>
            <w:rFonts w:eastAsiaTheme="majorEastAsia"/>
          </w:rPr>
          <w:t>anagement best practices</w:t>
        </w:r>
      </w:hyperlink>
      <w:r w:rsidRPr="004C1C3C">
        <w:t xml:space="preserve"> will help you create or refresh your application and platform inventory, assess your current state (including </w:t>
      </w:r>
      <w:hyperlink r:id="rId21" w:history="1">
        <w:r w:rsidRPr="00917EEB">
          <w:rPr>
            <w:rStyle w:val="Hyperlink"/>
            <w:rFonts w:eastAsiaTheme="majorEastAsia"/>
          </w:rPr>
          <w:t>customer satisfaction</w:t>
        </w:r>
      </w:hyperlink>
      <w:r w:rsidRPr="004C1C3C">
        <w:t>, technical health, and total cost of ownership), and clarify your short</w:t>
      </w:r>
      <w:r>
        <w:t>-</w:t>
      </w:r>
      <w:r w:rsidRPr="004C1C3C">
        <w:t xml:space="preserve"> and long-term goals.</w:t>
      </w:r>
      <w:r w:rsidRPr="00D0188D">
        <w:rPr>
          <w:noProof/>
        </w:rPr>
        <w:t xml:space="preserve"> </w:t>
      </w:r>
      <w:r w:rsidRPr="00D0188D">
        <w:rPr>
          <w:noProof/>
        </w:rPr>
        <w:lastRenderedPageBreak/>
        <w:drawing>
          <wp:inline distT="0" distB="0" distL="0" distR="0" wp14:anchorId="5D25B5B2" wp14:editId="18D00E44">
            <wp:extent cx="4965557" cy="2018982"/>
            <wp:effectExtent l="0" t="0" r="6985" b="635"/>
            <wp:docPr id="1172744637" name="Picture 1" descr="Info-Tech's Five Lens Model: look at your application alignment, business value, technical health, end-user perspective, and total cost of ownership to rationalize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44637" name="Picture 1" descr="Info-Tech's Five Lens Model: look at your application alignment, business value, technical health, end-user perspective, and total cost of ownership to rationalize applications."/>
                    <pic:cNvPicPr/>
                  </pic:nvPicPr>
                  <pic:blipFill>
                    <a:blip r:embed="rId22"/>
                    <a:stretch>
                      <a:fillRect/>
                    </a:stretch>
                  </pic:blipFill>
                  <pic:spPr>
                    <a:xfrm>
                      <a:off x="0" y="0"/>
                      <a:ext cx="5021690" cy="2041806"/>
                    </a:xfrm>
                    <a:prstGeom prst="rect">
                      <a:avLst/>
                    </a:prstGeom>
                  </pic:spPr>
                </pic:pic>
              </a:graphicData>
            </a:graphic>
          </wp:inline>
        </w:drawing>
      </w:r>
      <w:r w:rsidRPr="004C1C3C">
        <w:br/>
      </w:r>
      <w:r w:rsidRPr="004C1C3C">
        <w:br/>
        <w:t xml:space="preserve">The project portfolio is a critical component of how IT helps the organization achieve strategic objectives. In any maturity assessment, it’s likely that a review of the current project portfolio </w:t>
      </w:r>
      <w:r w:rsidRPr="00F76DBD">
        <w:rPr>
          <w:i/>
          <w:iCs/>
        </w:rPr>
        <w:t>and</w:t>
      </w:r>
      <w:r w:rsidRPr="004C1C3C">
        <w:t xml:space="preserve"> practices is likely. If you can’t effectively manage a portfolio of projects for your organization, how can </w:t>
      </w:r>
      <w:r>
        <w:t xml:space="preserve">you </w:t>
      </w:r>
      <w:r w:rsidRPr="004C1C3C">
        <w:t xml:space="preserve">do the same in support of service delivery to another? </w:t>
      </w:r>
      <w:hyperlink r:id="rId23" w:history="1">
        <w:r w:rsidRPr="00E9710C">
          <w:rPr>
            <w:rStyle w:val="Hyperlink"/>
            <w:rFonts w:eastAsiaTheme="majorEastAsia"/>
          </w:rPr>
          <w:t>Info-Tech’s project portfolio audit framework</w:t>
        </w:r>
      </w:hyperlink>
      <w:r w:rsidRPr="004C1C3C">
        <w:t xml:space="preserve"> will help you perform a high-level triage of your portfolios, projects, and supporting practices.</w:t>
      </w:r>
      <w:r>
        <w:br/>
      </w:r>
      <w:r>
        <w:br/>
        <w:t xml:space="preserve">Members with access to </w:t>
      </w:r>
      <w:hyperlink r:id="rId24" w:history="1">
        <w:r w:rsidRPr="000C1806">
          <w:rPr>
            <w:rStyle w:val="Hyperlink"/>
            <w:rFonts w:eastAsiaTheme="majorEastAsia"/>
          </w:rPr>
          <w:t>our concierge services</w:t>
        </w:r>
      </w:hyperlink>
      <w:r>
        <w:t xml:space="preserve"> can use our </w:t>
      </w:r>
      <w:hyperlink r:id="rId25" w:history="1">
        <w:r w:rsidRPr="00B573B3">
          <w:rPr>
            <w:rStyle w:val="Hyperlink"/>
            <w:rFonts w:eastAsiaTheme="majorEastAsia"/>
          </w:rPr>
          <w:t>Project Backlog Rationalization Service</w:t>
        </w:r>
      </w:hyperlink>
      <w:r>
        <w:t>. Our analysts will help you assess the root causes of any disorder in your project intake and backlog management practices and help you get a clear understanding of where your delivery capacity is being spent.</w:t>
      </w:r>
    </w:p>
    <w:p w14:paraId="280836DE" w14:textId="77777777" w:rsidR="00F76DBD" w:rsidRPr="00EB47C2" w:rsidRDefault="00F76DBD" w:rsidP="00F76DBD">
      <w:pPr>
        <w:pStyle w:val="Heading3"/>
      </w:pPr>
      <w:r w:rsidRPr="00EB47C2">
        <w:t xml:space="preserve">Our </w:t>
      </w:r>
      <w:r w:rsidRPr="00F76DBD">
        <w:t>Take</w:t>
      </w:r>
    </w:p>
    <w:p w14:paraId="5E2D9838" w14:textId="77777777" w:rsidR="00F76DBD" w:rsidRDefault="00F76DBD" w:rsidP="00F76DBD">
      <w:r>
        <w:t>To our Ontario municipal government members, don’t wait for the regional facilitator to knock on your door. Take charge of the process and be prepared for the assessment. In circumstances like these, it is in your best interest to leverage objective, third-party frameworks to assess your current state and measure the effectiveness of your delivery. Fortune will always favor the prepared.</w:t>
      </w:r>
    </w:p>
    <w:p w14:paraId="163597AE" w14:textId="77777777" w:rsidR="00F76DBD" w:rsidRPr="00B766A0" w:rsidRDefault="00F76DBD" w:rsidP="00F76DBD">
      <w:r>
        <w:t>Following the assessments and resulting reports and recommendations, Info-Tech will be ready to help you take your due diligence and planning to the next level of detail and support any organizational or service changes required to meet a new or changed mandate.</w:t>
      </w:r>
    </w:p>
    <w:p w14:paraId="2108A0F1" w14:textId="77777777" w:rsidR="00F76DBD" w:rsidRPr="00EB47C2" w:rsidRDefault="00F76DBD" w:rsidP="000F1ADB">
      <w:pPr>
        <w:pStyle w:val="Heading3"/>
      </w:pPr>
      <w:r w:rsidRPr="00EB47C2">
        <w:t xml:space="preserve">Want to </w:t>
      </w:r>
      <w:r w:rsidRPr="00F76DBD">
        <w:t>Know</w:t>
      </w:r>
      <w:r w:rsidRPr="00EB47C2">
        <w:t xml:space="preserve"> </w:t>
      </w:r>
      <w:r w:rsidRPr="000F1ADB">
        <w:t>More</w:t>
      </w:r>
      <w:r w:rsidRPr="00EB47C2">
        <w:t>?</w:t>
      </w:r>
    </w:p>
    <w:p w14:paraId="583701C7" w14:textId="3379B43A" w:rsidR="00D87863" w:rsidRPr="00AB55DF" w:rsidRDefault="00F76DBD" w:rsidP="004B32B2">
      <w:r>
        <w:t>Click any of the links above to book a call on the supporting topic and prepare for your municipal maturity assessment.</w:t>
      </w:r>
      <w:bookmarkEnd w:id="0"/>
    </w:p>
    <w:sectPr w:rsidR="00D87863" w:rsidRPr="00AB55DF" w:rsidSect="000F1ADB">
      <w:headerReference w:type="default" r:id="rId26"/>
      <w:footerReference w:type="default" r:id="rId27"/>
      <w:footerReference w:type="first" r:id="rId28"/>
      <w:pgSz w:w="12240" w:h="15840"/>
      <w:pgMar w:top="1440" w:right="1440" w:bottom="1440" w:left="199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4A702" w14:textId="77777777" w:rsidR="007F447F" w:rsidRDefault="007F447F" w:rsidP="004B32B2">
      <w:r>
        <w:separator/>
      </w:r>
    </w:p>
  </w:endnote>
  <w:endnote w:type="continuationSeparator" w:id="0">
    <w:p w14:paraId="64FAF2AD" w14:textId="77777777" w:rsidR="007F447F" w:rsidRDefault="007F447F" w:rsidP="004B3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B77B3B1-4244-4745-B025-45C161DA3F97}"/>
    <w:embedBold r:id="rId2" w:fontKey="{8DE48538-4D18-4CAE-98D2-35E8221EBAEE}"/>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embedRegular r:id="rId3" w:fontKey="{F4BC22EE-79C1-4623-8D96-61927B884650}"/>
    <w:embedBold r:id="rId4" w:fontKey="{B7505FCE-12C0-4468-B47E-103001377FB9}"/>
    <w:embedItalic r:id="rId5" w:fontKey="{6AC85730-1DAA-4C0A-9A69-B095D68DB29C}"/>
  </w:font>
  <w:font w:name="Montserrat Semi Bold">
    <w:altName w:val="Calibri"/>
    <w:charset w:val="4D"/>
    <w:family w:val="auto"/>
    <w:pitch w:val="variable"/>
    <w:sig w:usb0="00000007" w:usb1="00000000" w:usb2="00000000" w:usb3="00000000" w:csb0="00000093" w:csb1="00000000"/>
    <w:embedRegular r:id="rId6" w:fontKey="{81411F80-6832-4947-80AF-70D3F667B49D}"/>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embedBold r:id="rId7" w:fontKey="{35862704-F8CF-4992-8BE8-73276EEA1B35}"/>
  </w:font>
  <w:font w:name="Roboto">
    <w:panose1 w:val="02000000000000000000"/>
    <w:charset w:val="00"/>
    <w:family w:val="auto"/>
    <w:pitch w:val="variable"/>
    <w:sig w:usb0="E00002EF" w:usb1="5000205B" w:usb2="00000020" w:usb3="00000000" w:csb0="0000019F" w:csb1="00000000"/>
    <w:embedBold r:id="rId8" w:fontKey="{9DC0870F-8BFA-435B-872B-475D0B7F0EE5}"/>
  </w:font>
  <w:font w:name="Exo">
    <w:panose1 w:val="02000303000000000000"/>
    <w:charset w:val="00"/>
    <w:family w:val="auto"/>
    <w:pitch w:val="variable"/>
    <w:sig w:usb0="A00000EF" w:usb1="4000204B" w:usb2="00000000" w:usb3="00000000" w:csb0="00000093" w:csb1="00000000"/>
    <w:embedRegular r:id="rId9" w:fontKey="{096E6D0D-B31A-462D-8493-D555D5800CB7}"/>
  </w:font>
  <w:font w:name="Calibri Light">
    <w:panose1 w:val="020F0302020204030204"/>
    <w:charset w:val="00"/>
    <w:family w:val="swiss"/>
    <w:pitch w:val="variable"/>
    <w:sig w:usb0="E4002EFF" w:usb1="C000247B" w:usb2="00000009" w:usb3="00000000" w:csb0="000001FF" w:csb1="00000000"/>
    <w:embedRegular r:id="rId10" w:fontKey="{252E742C-D721-4332-9AD6-8F0ED92ED7C0}"/>
  </w:font>
  <w:font w:name="Roboto Medium">
    <w:panose1 w:val="02000000000000000000"/>
    <w:charset w:val="00"/>
    <w:family w:val="auto"/>
    <w:pitch w:val="variable"/>
    <w:sig w:usb0="E00002EF" w:usb1="5000205B" w:usb2="00000020" w:usb3="00000000" w:csb0="0000019F" w:csb1="00000000"/>
    <w:embedRegular r:id="rId11" w:fontKey="{9F0410E9-301F-4389-9120-CD4871589581}"/>
  </w:font>
  <w:font w:name="Montserrat Light">
    <w:panose1 w:val="00000400000000000000"/>
    <w:charset w:val="00"/>
    <w:family w:val="auto"/>
    <w:pitch w:val="variable"/>
    <w:sig w:usb0="2000020F" w:usb1="00000003" w:usb2="00000000" w:usb3="00000000" w:csb0="00000197" w:csb1="00000000"/>
    <w:embedRegular r:id="rId12" w:fontKey="{8BDDBEC2-0A13-41B1-9C49-344F4FA513E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2E1E" w14:textId="77777777" w:rsidR="00E87110" w:rsidRDefault="00E87110" w:rsidP="004B32B2">
    <w:pPr>
      <w:rPr>
        <w:rFonts w:ascii="Montserrat Light" w:hAnsi="Montserrat Light"/>
        <w:color w:val="494A4A" w:themeColor="text1"/>
        <w:sz w:val="16"/>
        <w:szCs w:val="16"/>
      </w:rPr>
    </w:pPr>
  </w:p>
  <w:p w14:paraId="13D3EA1D" w14:textId="45D8786D" w:rsidR="00B374DB" w:rsidRPr="00E87110" w:rsidRDefault="00B374DB" w:rsidP="00E87110">
    <w:pPr>
      <w:tabs>
        <w:tab w:val="right" w:pos="8789"/>
      </w:tabs>
      <w:rPr>
        <w:rFonts w:ascii="Montserrat Light" w:hAnsi="Montserrat Light"/>
        <w:color w:val="494A4A" w:themeColor="text1"/>
        <w:sz w:val="16"/>
        <w:szCs w:val="16"/>
      </w:rPr>
    </w:pPr>
    <w:r w:rsidRPr="00F216D5">
      <w:rPr>
        <w:rFonts w:ascii="Montserrat Light" w:hAnsi="Montserrat Light"/>
        <w:color w:val="494A4A" w:themeColor="text1"/>
        <w:sz w:val="16"/>
        <w:szCs w:val="16"/>
      </w:rPr>
      <w:t>INFO-TECH RESEARCH GROUP</w:t>
    </w:r>
    <w:r w:rsidR="00E87110">
      <w:rPr>
        <w:rFonts w:ascii="Montserrat Light" w:hAnsi="Montserrat Light"/>
        <w:color w:val="494A4A" w:themeColor="text1"/>
        <w:sz w:val="16"/>
        <w:szCs w:val="16"/>
      </w:rPr>
      <w:tab/>
    </w:r>
    <w:r w:rsidR="00E87110" w:rsidRPr="00E87110">
      <w:rPr>
        <w:rFonts w:ascii="Montserrat Light" w:hAnsi="Montserrat Light"/>
        <w:color w:val="494A4A" w:themeColor="text1"/>
        <w:sz w:val="16"/>
        <w:szCs w:val="16"/>
      </w:rPr>
      <w:fldChar w:fldCharType="begin"/>
    </w:r>
    <w:r w:rsidR="00E87110" w:rsidRPr="00E87110">
      <w:rPr>
        <w:rFonts w:ascii="Montserrat Light" w:hAnsi="Montserrat Light"/>
        <w:color w:val="494A4A" w:themeColor="text1"/>
        <w:sz w:val="16"/>
        <w:szCs w:val="16"/>
      </w:rPr>
      <w:instrText xml:space="preserve"> PAGE   \* MERGEFORMAT </w:instrText>
    </w:r>
    <w:r w:rsidR="00E87110" w:rsidRPr="00E87110">
      <w:rPr>
        <w:rFonts w:ascii="Montserrat Light" w:hAnsi="Montserrat Light"/>
        <w:color w:val="494A4A" w:themeColor="text1"/>
        <w:sz w:val="16"/>
        <w:szCs w:val="16"/>
      </w:rPr>
      <w:fldChar w:fldCharType="separate"/>
    </w:r>
    <w:r w:rsidR="00E87110" w:rsidRPr="00E87110">
      <w:rPr>
        <w:rFonts w:ascii="Montserrat Light" w:hAnsi="Montserrat Light"/>
        <w:noProof/>
        <w:color w:val="494A4A" w:themeColor="text1"/>
        <w:sz w:val="16"/>
        <w:szCs w:val="16"/>
      </w:rPr>
      <w:t>1</w:t>
    </w:r>
    <w:r w:rsidR="00E87110" w:rsidRPr="00E87110">
      <w:rPr>
        <w:rFonts w:ascii="Montserrat Light" w:hAnsi="Montserrat Light"/>
        <w:noProof/>
        <w:color w:val="494A4A" w:themeColor="text1"/>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5396" w14:textId="77777777" w:rsidR="009800F0" w:rsidRPr="00B15AED" w:rsidRDefault="009800F0" w:rsidP="009800F0">
    <w:pPr>
      <w:pStyle w:val="Footer"/>
      <w:jc w:val="center"/>
      <w:rPr>
        <w:sz w:val="12"/>
        <w:szCs w:val="12"/>
      </w:rPr>
    </w:pPr>
    <w:r w:rsidRPr="00B15AED">
      <w:rPr>
        <w:sz w:val="12"/>
        <w:szCs w:val="12"/>
      </w:rPr>
      <w:t>Info-Tech Research Group Inc. is a global leader in providing IT research and advice. Info-Tech’s products and services combine actionable insight and relevant advice with ready-to-use tools and templates that cover the full spectrum of IT concerns.</w:t>
    </w:r>
    <w:r>
      <w:rPr>
        <w:sz w:val="12"/>
        <w:szCs w:val="12"/>
      </w:rPr>
      <w:t xml:space="preserve"> </w:t>
    </w:r>
    <w:r w:rsidRPr="00B15AED">
      <w:rPr>
        <w:sz w:val="12"/>
        <w:szCs w:val="12"/>
      </w:rPr>
      <w:t>© 1997-20</w:t>
    </w:r>
    <w:r w:rsidRPr="00B15AED">
      <w:rPr>
        <w:sz w:val="12"/>
        <w:szCs w:val="12"/>
        <w:lang w:val="en-US"/>
      </w:rPr>
      <w:t>22</w:t>
    </w:r>
    <w:r w:rsidRPr="00B15AED">
      <w:rPr>
        <w:sz w:val="12"/>
        <w:szCs w:val="12"/>
      </w:rPr>
      <w:t xml:space="preserve"> Info-Tech Research Group Inc.</w:t>
    </w:r>
  </w:p>
  <w:p w14:paraId="67446E57" w14:textId="77777777" w:rsidR="004C2EFF" w:rsidRDefault="004C2EFF" w:rsidP="004B3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408E0" w14:textId="77777777" w:rsidR="007F447F" w:rsidRDefault="007F447F" w:rsidP="004B32B2">
      <w:r>
        <w:separator/>
      </w:r>
    </w:p>
  </w:footnote>
  <w:footnote w:type="continuationSeparator" w:id="0">
    <w:p w14:paraId="47F491C1" w14:textId="77777777" w:rsidR="007F447F" w:rsidRDefault="007F447F" w:rsidP="004B3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05E4" w14:textId="1E847CD7" w:rsidR="001612CA" w:rsidRPr="000F1ADB" w:rsidRDefault="001612CA" w:rsidP="00A20CAF">
    <w:pPr>
      <w:jc w:val="right"/>
      <w:rPr>
        <w:rFonts w:ascii="Montserrat Light" w:hAnsi="Montserrat Light"/>
        <w:caps/>
        <w:color w:val="494A4A" w:themeColor="text1"/>
        <w:sz w:val="16"/>
        <w:szCs w:val="16"/>
      </w:rPr>
    </w:pPr>
    <w:r w:rsidRPr="000F1ADB">
      <w:rPr>
        <w:rFonts w:ascii="Montserrat Light" w:hAnsi="Montserrat Light"/>
        <w:caps/>
        <w:noProof/>
        <w:color w:val="494A4A" w:themeColor="text1"/>
        <w:sz w:val="16"/>
        <w:szCs w:val="16"/>
      </w:rPr>
      <mc:AlternateContent>
        <mc:Choice Requires="wps">
          <w:drawing>
            <wp:anchor distT="0" distB="0" distL="114300" distR="114300" simplePos="0" relativeHeight="251659264" behindDoc="1" locked="0" layoutInCell="1" allowOverlap="1" wp14:anchorId="15CDB6BA" wp14:editId="5A536DEA">
              <wp:simplePos x="0" y="0"/>
              <wp:positionH relativeFrom="margin">
                <wp:posOffset>-39877</wp:posOffset>
              </wp:positionH>
              <wp:positionV relativeFrom="page">
                <wp:posOffset>649596</wp:posOffset>
              </wp:positionV>
              <wp:extent cx="5629525" cy="0"/>
              <wp:effectExtent l="0" t="0" r="0" b="0"/>
              <wp:wrapNone/>
              <wp:docPr id="4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29525" cy="0"/>
                      </a:xfrm>
                      <a:prstGeom prst="line">
                        <a:avLst/>
                      </a:prstGeom>
                      <a:noFill/>
                      <a:ln w="3175">
                        <a:solidFill>
                          <a:srgbClr val="49494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64FEF" id="Line 20"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5pt,51.15pt" to="440.1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" strokecolor="#494949" strokeweight=".25pt">
              <o:lock v:ext="edit" shapetype="f"/>
              <w10:wrap anchorx="margin" anchory="page"/>
            </v:line>
          </w:pict>
        </mc:Fallback>
      </mc:AlternateContent>
    </w:r>
    <w:r w:rsidRPr="000F1ADB">
      <w:rPr>
        <w:rFonts w:ascii="Montserrat Light" w:hAnsi="Montserrat Light"/>
        <w:caps/>
        <w:color w:val="494A4A" w:themeColor="text1"/>
        <w:sz w:val="16"/>
        <w:szCs w:val="16"/>
      </w:rPr>
      <w:t xml:space="preserve"> </w:t>
    </w:r>
    <w:r w:rsidR="000F1ADB" w:rsidRPr="000F1ADB">
      <w:rPr>
        <w:rFonts w:ascii="Montserrat Light" w:hAnsi="Montserrat Light"/>
        <w:caps/>
        <w:color w:val="494A4A" w:themeColor="text1"/>
        <w:sz w:val="16"/>
        <w:szCs w:val="16"/>
      </w:rPr>
      <w:t>Preparing for Provincially Mandated Maturity Assessment</w:t>
    </w:r>
  </w:p>
  <w:p w14:paraId="29CD2E67" w14:textId="77777777" w:rsidR="001612CA" w:rsidRDefault="001612CA" w:rsidP="004B32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BA37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EA77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662B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383F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44475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4E0E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706A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D2A6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3C14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E0C4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53319"/>
    <w:multiLevelType w:val="hybridMultilevel"/>
    <w:tmpl w:val="394C6C10"/>
    <w:lvl w:ilvl="0" w:tplc="1009000F">
      <w:start w:val="1"/>
      <w:numFmt w:val="decimal"/>
      <w:lvlText w:val="%1."/>
      <w:lvlJc w:val="left"/>
      <w:pPr>
        <w:ind w:left="720" w:hanging="360"/>
      </w:pPr>
      <w:rPr>
        <w:rFonts w:hint="default"/>
        <w:b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BCB7C29"/>
    <w:multiLevelType w:val="hybridMultilevel"/>
    <w:tmpl w:val="F1CA7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9130061">
    <w:abstractNumId w:val="0"/>
  </w:num>
  <w:num w:numId="2" w16cid:durableId="672150020">
    <w:abstractNumId w:val="1"/>
  </w:num>
  <w:num w:numId="3" w16cid:durableId="260838807">
    <w:abstractNumId w:val="2"/>
  </w:num>
  <w:num w:numId="4" w16cid:durableId="2032025819">
    <w:abstractNumId w:val="3"/>
  </w:num>
  <w:num w:numId="5" w16cid:durableId="403726567">
    <w:abstractNumId w:val="8"/>
  </w:num>
  <w:num w:numId="6" w16cid:durableId="342559634">
    <w:abstractNumId w:val="4"/>
  </w:num>
  <w:num w:numId="7" w16cid:durableId="1147166358">
    <w:abstractNumId w:val="5"/>
  </w:num>
  <w:num w:numId="8" w16cid:durableId="1588347997">
    <w:abstractNumId w:val="6"/>
  </w:num>
  <w:num w:numId="9" w16cid:durableId="1528907611">
    <w:abstractNumId w:val="7"/>
  </w:num>
  <w:num w:numId="10" w16cid:durableId="421881572">
    <w:abstractNumId w:val="9"/>
  </w:num>
  <w:num w:numId="11" w16cid:durableId="1734810803">
    <w:abstractNumId w:val="10"/>
  </w:num>
  <w:num w:numId="12" w16cid:durableId="14315820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4B1"/>
    <w:rsid w:val="00094114"/>
    <w:rsid w:val="000F1ADB"/>
    <w:rsid w:val="001331D0"/>
    <w:rsid w:val="0015572A"/>
    <w:rsid w:val="001612CA"/>
    <w:rsid w:val="00174D34"/>
    <w:rsid w:val="001A2AC1"/>
    <w:rsid w:val="001F786B"/>
    <w:rsid w:val="00213FD1"/>
    <w:rsid w:val="002271DE"/>
    <w:rsid w:val="00231528"/>
    <w:rsid w:val="0025072B"/>
    <w:rsid w:val="00280034"/>
    <w:rsid w:val="002C0C67"/>
    <w:rsid w:val="002F5564"/>
    <w:rsid w:val="00326DAB"/>
    <w:rsid w:val="00333E3B"/>
    <w:rsid w:val="00347835"/>
    <w:rsid w:val="00363352"/>
    <w:rsid w:val="00390ED8"/>
    <w:rsid w:val="0042212A"/>
    <w:rsid w:val="004402D0"/>
    <w:rsid w:val="0047093E"/>
    <w:rsid w:val="0049118F"/>
    <w:rsid w:val="004B32B2"/>
    <w:rsid w:val="004C2EFF"/>
    <w:rsid w:val="004C7C4B"/>
    <w:rsid w:val="005672BE"/>
    <w:rsid w:val="005724B1"/>
    <w:rsid w:val="00583189"/>
    <w:rsid w:val="005B1305"/>
    <w:rsid w:val="005B3467"/>
    <w:rsid w:val="006130F6"/>
    <w:rsid w:val="00634E36"/>
    <w:rsid w:val="00641282"/>
    <w:rsid w:val="0065512A"/>
    <w:rsid w:val="00670EF0"/>
    <w:rsid w:val="006E0A0C"/>
    <w:rsid w:val="00722DB5"/>
    <w:rsid w:val="007470C1"/>
    <w:rsid w:val="007550D4"/>
    <w:rsid w:val="007C6252"/>
    <w:rsid w:val="007E00FF"/>
    <w:rsid w:val="007F1FD3"/>
    <w:rsid w:val="007F447F"/>
    <w:rsid w:val="007F7683"/>
    <w:rsid w:val="00821F61"/>
    <w:rsid w:val="00823B74"/>
    <w:rsid w:val="00882AB1"/>
    <w:rsid w:val="008D6BC3"/>
    <w:rsid w:val="008E67B6"/>
    <w:rsid w:val="008F4ED3"/>
    <w:rsid w:val="009800F0"/>
    <w:rsid w:val="009F5872"/>
    <w:rsid w:val="00A11C0F"/>
    <w:rsid w:val="00A20CAF"/>
    <w:rsid w:val="00A36704"/>
    <w:rsid w:val="00A90659"/>
    <w:rsid w:val="00AB55DF"/>
    <w:rsid w:val="00AC2227"/>
    <w:rsid w:val="00B14349"/>
    <w:rsid w:val="00B374DB"/>
    <w:rsid w:val="00B60D07"/>
    <w:rsid w:val="00B63584"/>
    <w:rsid w:val="00B851C1"/>
    <w:rsid w:val="00BC538C"/>
    <w:rsid w:val="00BE3045"/>
    <w:rsid w:val="00C277F7"/>
    <w:rsid w:val="00C678A6"/>
    <w:rsid w:val="00CA772B"/>
    <w:rsid w:val="00CD4449"/>
    <w:rsid w:val="00CE634B"/>
    <w:rsid w:val="00CF5A5D"/>
    <w:rsid w:val="00D61AA9"/>
    <w:rsid w:val="00D633CD"/>
    <w:rsid w:val="00D87863"/>
    <w:rsid w:val="00DA1C19"/>
    <w:rsid w:val="00DB122A"/>
    <w:rsid w:val="00E8247B"/>
    <w:rsid w:val="00E82B7F"/>
    <w:rsid w:val="00E87110"/>
    <w:rsid w:val="00F110C9"/>
    <w:rsid w:val="00F216D5"/>
    <w:rsid w:val="00F76DBD"/>
    <w:rsid w:val="00F96C5E"/>
    <w:rsid w:val="00FE0BA8"/>
    <w:rsid w:val="2475260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3AE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2B2"/>
    <w:pPr>
      <w:spacing w:after="200"/>
    </w:pPr>
    <w:rPr>
      <w:rFonts w:ascii="Roboto Light" w:hAnsi="Roboto Light"/>
    </w:rPr>
  </w:style>
  <w:style w:type="paragraph" w:styleId="Heading1">
    <w:name w:val="heading 1"/>
    <w:basedOn w:val="Normal"/>
    <w:next w:val="Normal"/>
    <w:link w:val="Heading1Char"/>
    <w:uiPriority w:val="9"/>
    <w:qFormat/>
    <w:rsid w:val="004B32B2"/>
    <w:pPr>
      <w:keepNext/>
      <w:keepLines/>
      <w:spacing w:before="240" w:after="0"/>
      <w:outlineLvl w:val="0"/>
    </w:pPr>
    <w:rPr>
      <w:rFonts w:ascii="Montserrat Semi Bold" w:eastAsiaTheme="majorEastAsia" w:hAnsi="Montserrat Semi Bold" w:cstheme="majorBidi"/>
      <w:color w:val="FFFFFF" w:themeColor="background1"/>
      <w:sz w:val="88"/>
      <w:szCs w:val="32"/>
    </w:rPr>
  </w:style>
  <w:style w:type="paragraph" w:styleId="Heading2">
    <w:name w:val="heading 2"/>
    <w:basedOn w:val="Normal"/>
    <w:next w:val="Normal"/>
    <w:link w:val="Heading2Char"/>
    <w:uiPriority w:val="9"/>
    <w:unhideWhenUsed/>
    <w:qFormat/>
    <w:rsid w:val="001331D0"/>
    <w:pPr>
      <w:keepNext/>
      <w:keepLines/>
      <w:spacing w:before="40"/>
      <w:outlineLvl w:val="1"/>
    </w:pPr>
    <w:rPr>
      <w:rFonts w:ascii="Montserrat" w:eastAsiaTheme="majorEastAsia" w:hAnsi="Montserrat" w:cstheme="majorBidi"/>
      <w:b/>
      <w:color w:val="2576B6" w:themeColor="accent1"/>
      <w:sz w:val="48"/>
      <w:szCs w:val="26"/>
    </w:rPr>
  </w:style>
  <w:style w:type="paragraph" w:styleId="Heading3">
    <w:name w:val="heading 3"/>
    <w:basedOn w:val="Normal"/>
    <w:next w:val="Normal"/>
    <w:link w:val="Heading3Char"/>
    <w:uiPriority w:val="9"/>
    <w:unhideWhenUsed/>
    <w:qFormat/>
    <w:rsid w:val="00F216D5"/>
    <w:pPr>
      <w:outlineLvl w:val="2"/>
    </w:pPr>
    <w:rPr>
      <w:rFonts w:ascii="Roboto" w:hAnsi="Roboto"/>
      <w:b/>
      <w:bCs/>
    </w:rPr>
  </w:style>
  <w:style w:type="paragraph" w:styleId="Heading4">
    <w:name w:val="heading 4"/>
    <w:basedOn w:val="Normal"/>
    <w:next w:val="Normal"/>
    <w:link w:val="Heading4Char"/>
    <w:uiPriority w:val="9"/>
    <w:unhideWhenUsed/>
    <w:qFormat/>
    <w:rsid w:val="00A20CAF"/>
    <w:pPr>
      <w:keepNext/>
      <w:keepLines/>
      <w:spacing w:before="40" w:after="0"/>
      <w:outlineLvl w:val="3"/>
    </w:pPr>
    <w:rPr>
      <w:rFonts w:ascii="Exo" w:eastAsiaTheme="majorEastAsia" w:hAnsi="Exo" w:cstheme="majorBidi"/>
      <w:iCs/>
      <w:color w:val="FFFFFF" w:themeColor="background1"/>
      <w:sz w:val="48"/>
    </w:rPr>
  </w:style>
  <w:style w:type="paragraph" w:styleId="Heading5">
    <w:name w:val="heading 5"/>
    <w:basedOn w:val="Normal"/>
    <w:next w:val="Normal"/>
    <w:link w:val="Heading5Char"/>
    <w:uiPriority w:val="9"/>
    <w:unhideWhenUsed/>
    <w:qFormat/>
    <w:rsid w:val="008F4ED3"/>
    <w:pPr>
      <w:keepNext/>
      <w:keepLines/>
      <w:spacing w:before="40" w:after="0"/>
      <w:outlineLvl w:val="4"/>
    </w:pPr>
    <w:rPr>
      <w:rFonts w:asciiTheme="majorHAnsi" w:eastAsiaTheme="majorEastAsia" w:hAnsiTheme="majorHAnsi" w:cstheme="majorBidi"/>
      <w:color w:val="1B588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2B2"/>
    <w:rPr>
      <w:rFonts w:ascii="Montserrat Semi Bold" w:eastAsiaTheme="majorEastAsia" w:hAnsi="Montserrat Semi Bold" w:cstheme="majorBidi"/>
      <w:color w:val="FFFFFF" w:themeColor="background1"/>
      <w:sz w:val="88"/>
      <w:szCs w:val="32"/>
    </w:rPr>
  </w:style>
  <w:style w:type="character" w:customStyle="1" w:styleId="Heading2Char">
    <w:name w:val="Heading 2 Char"/>
    <w:basedOn w:val="DefaultParagraphFont"/>
    <w:link w:val="Heading2"/>
    <w:uiPriority w:val="9"/>
    <w:rsid w:val="001331D0"/>
    <w:rPr>
      <w:rFonts w:ascii="Montserrat" w:eastAsiaTheme="majorEastAsia" w:hAnsi="Montserrat" w:cstheme="majorBidi"/>
      <w:b/>
      <w:color w:val="2576B6" w:themeColor="accent1"/>
      <w:sz w:val="48"/>
      <w:szCs w:val="26"/>
    </w:rPr>
  </w:style>
  <w:style w:type="character" w:customStyle="1" w:styleId="Heading3Char">
    <w:name w:val="Heading 3 Char"/>
    <w:basedOn w:val="DefaultParagraphFont"/>
    <w:link w:val="Heading3"/>
    <w:uiPriority w:val="9"/>
    <w:rsid w:val="004B32B2"/>
    <w:rPr>
      <w:rFonts w:ascii="Roboto" w:hAnsi="Roboto"/>
      <w:b/>
      <w:bCs/>
    </w:rPr>
  </w:style>
  <w:style w:type="character" w:customStyle="1" w:styleId="Heading4Char">
    <w:name w:val="Heading 4 Char"/>
    <w:basedOn w:val="DefaultParagraphFont"/>
    <w:link w:val="Heading4"/>
    <w:uiPriority w:val="9"/>
    <w:rsid w:val="00A20CAF"/>
    <w:rPr>
      <w:rFonts w:ascii="Exo" w:eastAsiaTheme="majorEastAsia" w:hAnsi="Exo" w:cstheme="majorBidi"/>
      <w:iCs/>
      <w:color w:val="FFFFFF" w:themeColor="background1"/>
      <w:sz w:val="48"/>
    </w:rPr>
  </w:style>
  <w:style w:type="paragraph" w:styleId="Header">
    <w:name w:val="header"/>
    <w:basedOn w:val="Normal"/>
    <w:link w:val="HeaderChar"/>
    <w:uiPriority w:val="99"/>
    <w:unhideWhenUsed/>
    <w:rsid w:val="00F216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6D5"/>
    <w:rPr>
      <w:rFonts w:ascii="Roboto Light" w:hAnsi="Roboto Light"/>
    </w:rPr>
  </w:style>
  <w:style w:type="paragraph" w:styleId="Footer">
    <w:name w:val="footer"/>
    <w:basedOn w:val="Normal"/>
    <w:link w:val="FooterChar"/>
    <w:uiPriority w:val="99"/>
    <w:unhideWhenUsed/>
    <w:rsid w:val="00161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2CA"/>
  </w:style>
  <w:style w:type="character" w:customStyle="1" w:styleId="Heading5Char">
    <w:name w:val="Heading 5 Char"/>
    <w:basedOn w:val="DefaultParagraphFont"/>
    <w:link w:val="Heading5"/>
    <w:uiPriority w:val="9"/>
    <w:rsid w:val="008F4ED3"/>
    <w:rPr>
      <w:rFonts w:asciiTheme="majorHAnsi" w:eastAsiaTheme="majorEastAsia" w:hAnsiTheme="majorHAnsi" w:cstheme="majorBidi"/>
      <w:color w:val="1B5888" w:themeColor="accent1" w:themeShade="BF"/>
    </w:rPr>
  </w:style>
  <w:style w:type="character" w:styleId="Hyperlink">
    <w:name w:val="Hyperlink"/>
    <w:basedOn w:val="DefaultParagraphFont"/>
    <w:uiPriority w:val="99"/>
    <w:unhideWhenUsed/>
    <w:rsid w:val="0042212A"/>
    <w:rPr>
      <w:color w:val="2576B6" w:themeColor="hyperlink"/>
      <w:u w:val="single"/>
    </w:rPr>
  </w:style>
  <w:style w:type="character" w:styleId="UnresolvedMention">
    <w:name w:val="Unresolved Mention"/>
    <w:basedOn w:val="DefaultParagraphFont"/>
    <w:uiPriority w:val="99"/>
    <w:semiHidden/>
    <w:unhideWhenUsed/>
    <w:rsid w:val="0042212A"/>
    <w:rPr>
      <w:color w:val="605E5C"/>
      <w:shd w:val="clear" w:color="auto" w:fill="E1DFDD"/>
    </w:rPr>
  </w:style>
  <w:style w:type="table" w:styleId="TableGrid">
    <w:name w:val="Table Grid"/>
    <w:basedOn w:val="TableNormal"/>
    <w:uiPriority w:val="39"/>
    <w:rsid w:val="00980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2AB1"/>
    <w:rPr>
      <w:sz w:val="16"/>
      <w:szCs w:val="16"/>
    </w:rPr>
  </w:style>
  <w:style w:type="paragraph" w:styleId="CommentText">
    <w:name w:val="annotation text"/>
    <w:basedOn w:val="Normal"/>
    <w:link w:val="CommentTextChar"/>
    <w:uiPriority w:val="99"/>
    <w:semiHidden/>
    <w:unhideWhenUsed/>
    <w:rsid w:val="00882AB1"/>
    <w:pPr>
      <w:spacing w:line="240" w:lineRule="auto"/>
    </w:pPr>
    <w:rPr>
      <w:sz w:val="20"/>
      <w:szCs w:val="20"/>
    </w:rPr>
  </w:style>
  <w:style w:type="character" w:customStyle="1" w:styleId="CommentTextChar">
    <w:name w:val="Comment Text Char"/>
    <w:basedOn w:val="DefaultParagraphFont"/>
    <w:link w:val="CommentText"/>
    <w:uiPriority w:val="99"/>
    <w:semiHidden/>
    <w:rsid w:val="00882AB1"/>
    <w:rPr>
      <w:rFonts w:ascii="Roboto Light" w:hAnsi="Roboto Light"/>
      <w:sz w:val="20"/>
      <w:szCs w:val="20"/>
    </w:rPr>
  </w:style>
  <w:style w:type="paragraph" w:styleId="CommentSubject">
    <w:name w:val="annotation subject"/>
    <w:basedOn w:val="CommentText"/>
    <w:next w:val="CommentText"/>
    <w:link w:val="CommentSubjectChar"/>
    <w:uiPriority w:val="99"/>
    <w:semiHidden/>
    <w:unhideWhenUsed/>
    <w:rsid w:val="00882AB1"/>
    <w:rPr>
      <w:b/>
      <w:bCs/>
    </w:rPr>
  </w:style>
  <w:style w:type="character" w:customStyle="1" w:styleId="CommentSubjectChar">
    <w:name w:val="Comment Subject Char"/>
    <w:basedOn w:val="CommentTextChar"/>
    <w:link w:val="CommentSubject"/>
    <w:uiPriority w:val="99"/>
    <w:semiHidden/>
    <w:rsid w:val="00882AB1"/>
    <w:rPr>
      <w:rFonts w:ascii="Roboto Light" w:hAnsi="Roboto Light"/>
      <w:b/>
      <w:bCs/>
      <w:sz w:val="20"/>
      <w:szCs w:val="20"/>
    </w:rPr>
  </w:style>
  <w:style w:type="paragraph" w:styleId="Subtitle">
    <w:name w:val="Subtitle"/>
    <w:basedOn w:val="Heading4"/>
    <w:next w:val="Normal"/>
    <w:link w:val="SubtitleChar"/>
    <w:uiPriority w:val="11"/>
    <w:qFormat/>
    <w:rsid w:val="00BC538C"/>
  </w:style>
  <w:style w:type="character" w:customStyle="1" w:styleId="SubtitleChar">
    <w:name w:val="Subtitle Char"/>
    <w:basedOn w:val="DefaultParagraphFont"/>
    <w:link w:val="Subtitle"/>
    <w:uiPriority w:val="11"/>
    <w:rsid w:val="00BC538C"/>
    <w:rPr>
      <w:rFonts w:ascii="Exo" w:eastAsiaTheme="majorEastAsia" w:hAnsi="Exo" w:cstheme="majorBidi"/>
      <w:iCs/>
      <w:color w:val="FFFFFF" w:themeColor="background1"/>
      <w:sz w:val="48"/>
    </w:rPr>
  </w:style>
  <w:style w:type="paragraph" w:customStyle="1" w:styleId="AuthorByline">
    <w:name w:val="Author Byline"/>
    <w:basedOn w:val="Normal"/>
    <w:next w:val="Normal"/>
    <w:qFormat/>
    <w:rsid w:val="00BC538C"/>
    <w:rPr>
      <w:rFonts w:ascii="Roboto Medium" w:hAnsi="Roboto Medium"/>
      <w:color w:val="FFFFFF" w:themeColor="background1"/>
    </w:rPr>
  </w:style>
  <w:style w:type="paragraph" w:styleId="ListParagraph">
    <w:name w:val="List Paragraph"/>
    <w:basedOn w:val="Normal"/>
    <w:uiPriority w:val="34"/>
    <w:qFormat/>
    <w:rsid w:val="00F76DBD"/>
    <w:pPr>
      <w:spacing w:after="120" w:line="240" w:lineRule="auto"/>
      <w:ind w:left="720"/>
      <w:contextualSpacing/>
    </w:pPr>
    <w:rPr>
      <w:rFonts w:eastAsia="Times New Roman" w:cs="Times New Roman"/>
      <w:szCs w:val="24"/>
      <w:lang w:val="en-US"/>
    </w:rPr>
  </w:style>
  <w:style w:type="character" w:styleId="FollowedHyperlink">
    <w:name w:val="FollowedHyperlink"/>
    <w:basedOn w:val="DefaultParagraphFont"/>
    <w:uiPriority w:val="99"/>
    <w:semiHidden/>
    <w:unhideWhenUsed/>
    <w:rsid w:val="00F76DBD"/>
    <w:rPr>
      <w:color w:val="16476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fotech.com/research/ss/achieve-it-spend-staffing-transparency" TargetMode="External"/><Relationship Id="rId18" Type="http://schemas.openxmlformats.org/officeDocument/2006/relationships/hyperlink" Target="http://www.infotech.com/research/ss/establish-a-service-based-costing-mode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infotech.com/benchmarking/apa-enduser-feedback" TargetMode="External"/><Relationship Id="rId7" Type="http://schemas.openxmlformats.org/officeDocument/2006/relationships/endnotes" Target="endnotes.xml"/><Relationship Id="rId12" Type="http://schemas.openxmlformats.org/officeDocument/2006/relationships/hyperlink" Target="https://www.infotech.com/benchmarking/staffing" TargetMode="External"/><Relationship Id="rId17" Type="http://schemas.openxmlformats.org/officeDocument/2006/relationships/hyperlink" Target="https://www.infotech.com/research/ss/improve-it-business-alignment-through-an-internal-sla" TargetMode="External"/><Relationship Id="rId25" Type="http://schemas.openxmlformats.org/officeDocument/2006/relationships/hyperlink" Target="https://www.infotech.com/concierge-services/project-backlog-rationalization-service" TargetMode="External"/><Relationship Id="rId2" Type="http://schemas.openxmlformats.org/officeDocument/2006/relationships/numbering" Target="numbering.xml"/><Relationship Id="rId16" Type="http://schemas.openxmlformats.org/officeDocument/2006/relationships/hyperlink" Target="https://www.infotech.com/research/ss/design-and-build-a-user-facing-service-catalog" TargetMode="External"/><Relationship Id="rId20" Type="http://schemas.openxmlformats.org/officeDocument/2006/relationships/hyperlink" Target="https://www.infotech.com/research/ss/application-portfolio-management-foundation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tech.com/browse/management-and-governance" TargetMode="External"/><Relationship Id="rId24" Type="http://schemas.openxmlformats.org/officeDocument/2006/relationships/hyperlink" Target="https://www.infotech.com/concierge-services" TargetMode="External"/><Relationship Id="rId5" Type="http://schemas.openxmlformats.org/officeDocument/2006/relationships/webSettings" Target="webSettings.xml"/><Relationship Id="rId15" Type="http://schemas.openxmlformats.org/officeDocument/2006/relationships/hyperlink" Target="https://www.infotech.com/customer-reviews" TargetMode="External"/><Relationship Id="rId23" Type="http://schemas.openxmlformats.org/officeDocument/2006/relationships/hyperlink" Target="https://www.infotech.com/research/ss/audit-the-project-portfolio"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infotech.com/research/ss/develop-meaningful-service-metrics" TargetMode="External"/><Relationship Id="rId4" Type="http://schemas.openxmlformats.org/officeDocument/2006/relationships/settings" Target="settings.xml"/><Relationship Id="rId9" Type="http://schemas.openxmlformats.org/officeDocument/2006/relationships/hyperlink" Target="https://news.ontario.ca/en/release/1003064/ontario-announces-intent-to-dissolve-peel-region" TargetMode="External"/><Relationship Id="rId14" Type="http://schemas.openxmlformats.org/officeDocument/2006/relationships/hyperlink" Target="https://www.infotech.com/browse/itss-benchmarking"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InfoTechResearch">
      <a:dk1>
        <a:srgbClr val="494A4A"/>
      </a:dk1>
      <a:lt1>
        <a:srgbClr val="FFFFFF"/>
      </a:lt1>
      <a:dk2>
        <a:srgbClr val="494A4A"/>
      </a:dk2>
      <a:lt2>
        <a:srgbClr val="FFFFFF"/>
      </a:lt2>
      <a:accent1>
        <a:srgbClr val="2576B6"/>
      </a:accent1>
      <a:accent2>
        <a:srgbClr val="5D3291"/>
      </a:accent2>
      <a:accent3>
        <a:srgbClr val="F7C435"/>
      </a:accent3>
      <a:accent4>
        <a:srgbClr val="299C47"/>
      </a:accent4>
      <a:accent5>
        <a:srgbClr val="B3252E"/>
      </a:accent5>
      <a:accent6>
        <a:srgbClr val="F07925"/>
      </a:accent6>
      <a:hlink>
        <a:srgbClr val="2576B6"/>
      </a:hlink>
      <a:folHlink>
        <a:srgbClr val="16476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BECB6-6101-4AA9-8704-961350EC0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2023-07-14T18:58:00Z</dcterms:created>
  <dcterms:modified xsi:type="dcterms:W3CDTF">2023-07-14T19:02:00Z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24214e-5322-4789-8422-cbe411bc3a74_Enabled">
    <vt:lpwstr>true</vt:lpwstr>
  </property>
  <property fmtid="{D5CDD505-2E9C-101B-9397-08002B2CF9AE}" pid="3" name="MSIP_Label_7d24214e-5322-4789-8422-cbe411bc3a74_SetDate">
    <vt:lpwstr>2023-07-14T18:58:22Z</vt:lpwstr>
  </property>
  <property fmtid="{D5CDD505-2E9C-101B-9397-08002B2CF9AE}" pid="4" name="MSIP_Label_7d24214e-5322-4789-8422-cbe411bc3a74_Method">
    <vt:lpwstr>Standard</vt:lpwstr>
  </property>
  <property fmtid="{D5CDD505-2E9C-101B-9397-08002B2CF9AE}" pid="5" name="MSIP_Label_7d24214e-5322-4789-8422-cbe411bc3a74_Name">
    <vt:lpwstr>7d24214e-5322-4789-8422-cbe411bc3a74</vt:lpwstr>
  </property>
  <property fmtid="{D5CDD505-2E9C-101B-9397-08002B2CF9AE}" pid="6" name="MSIP_Label_7d24214e-5322-4789-8422-cbe411bc3a74_SiteId">
    <vt:lpwstr>113d1920-a1e0-48cf-a70a-868cbb03f3f6</vt:lpwstr>
  </property>
  <property fmtid="{D5CDD505-2E9C-101B-9397-08002B2CF9AE}" pid="7" name="MSIP_Label_7d24214e-5322-4789-8422-cbe411bc3a74_ActionId">
    <vt:lpwstr>8c39f7e5-2331-4d12-91a8-6a5c53760241</vt:lpwstr>
  </property>
  <property fmtid="{D5CDD505-2E9C-101B-9397-08002B2CF9AE}" pid="8" name="MSIP_Label_7d24214e-5322-4789-8422-cbe411bc3a74_ContentBits">
    <vt:lpwstr>0</vt:lpwstr>
  </property>
</Properties>
</file>